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240" w:lineRule="auto"/>
        <w:rPr/>
      </w:pPr>
      <w:bookmarkStart w:colFirst="0" w:colLast="0" w:name="_ojqrqrx45eza" w:id="0"/>
      <w:bookmarkEnd w:id="0"/>
      <w:r w:rsidDel="00000000" w:rsidR="00000000" w:rsidRPr="00000000">
        <w:rPr>
          <w:rtl w:val="0"/>
        </w:rPr>
        <w:t xml:space="preserve">Impacto de la digitalización de la logística: el 17,4% de las empresas ha reducido sus plantillas, revela estudio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digitalización y su incorporación en los procesos logísticos han ocasionado una reducción de las plantillas de las empresas. De hecho, el 17,4% de las compañías han sustituido personal por procesos automatizados.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 los cargos que más han sido reemplazados son los dedicados al cobro, personal de almacén, de operaciones y actividades relacionadas con la distribución de pedidos.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 hecho, la media del sector logístico en cuanto al proceso de adquisición y uso de tecnologías es muy superior si se compara con otros sectores de la economía.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Estos datos han sido revelados por el informe de IMANcorp Foundation y la Universidad Autónoma de Barcelona.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 el informe se destaca que un 17,4% de las empresas efectivamente han reducido sus plantillas de personal como efecto de la digitalización. Sin embargo, destaca que un 8,7% de ellas, ha aumentado el personal por la misma razón.</w:t>
      </w:r>
    </w:p>
    <w:p w:rsidR="00000000" w:rsidDel="00000000" w:rsidP="00000000" w:rsidRDefault="00000000" w:rsidRPr="00000000" w14:paraId="00000007">
      <w:pPr>
        <w:pStyle w:val="Heading2"/>
        <w:spacing w:after="240" w:before="240" w:lineRule="auto"/>
        <w:rPr/>
      </w:pPr>
      <w:bookmarkStart w:colFirst="0" w:colLast="0" w:name="_v4xhuwrnmvb1" w:id="1"/>
      <w:bookmarkEnd w:id="1"/>
      <w:r w:rsidDel="00000000" w:rsidR="00000000" w:rsidRPr="00000000">
        <w:rPr>
          <w:rtl w:val="0"/>
        </w:rPr>
        <w:t xml:space="preserve">Se usa la tecnología, pero no como se esperaba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 curioso es que estos cambios ya se han ido registrando en la logística a pesar de la escasa penetración de las tecnologías de la industria 4.0.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 hecho, durante el último año sólo un 30% de las pymes ha integrado a sus procesos el Big Data. Apenas un 21,5% utiliza servicios en la nube y sólo un 26,7% usa Internet de las Cosas.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Otras tecnologías muy específicas como el picking con voz o el blockchain, no están tan desarrolladas como podrías suponerse.</w:t>
      </w:r>
    </w:p>
    <w:p w:rsidR="00000000" w:rsidDel="00000000" w:rsidP="00000000" w:rsidRDefault="00000000" w:rsidRPr="00000000" w14:paraId="0000000B">
      <w:pPr>
        <w:pStyle w:val="Heading2"/>
        <w:spacing w:after="240" w:before="240" w:lineRule="auto"/>
        <w:rPr/>
      </w:pPr>
      <w:bookmarkStart w:colFirst="0" w:colLast="0" w:name="_j01obnwgpsq2" w:id="2"/>
      <w:bookmarkEnd w:id="2"/>
      <w:r w:rsidDel="00000000" w:rsidR="00000000" w:rsidRPr="00000000">
        <w:rPr>
          <w:rtl w:val="0"/>
        </w:rPr>
        <w:t xml:space="preserve">Cualificación del personal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conocimiento de la digitalización, la tecnología en la logística y la interacción con dispositivos digitales debe ser una de las prioridades en la formación del personal del sector. Incluso desde los perfiles más básicos de la formación.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ello, el aprendizaje en el uso de herramientas digitales puede ser un buen incentivo para los jóvenes que se inclinen por el aprendizaje en logística.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Otro caso es el de los transportistas. Y todo se debe a la incógnita permanente sobre cómo afectará la conducción autónoma a estos trabajadores.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ejemplo, en los puestos relacionados con la gestión del transporte, las tareas complejas exigen al personal una alta formación y dominio avanzado en el uso de datos para la gestión. En estos casos, la gestión documental es una de las competencias necesarias que se deben desarrollar.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 se analiza la oferta universitaria, existen multitud de másteres y grados relacionados con la logística que incluso alcanzan la formación en el nivel “management”.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Pero algunos de estos programas son muy dispersos y ofrecen especializaciones en ámbitos concretos. A ello también se suma que no hay programas disponibles en universidades públicas.</w:t>
      </w:r>
    </w:p>
    <w:p w:rsidR="00000000" w:rsidDel="00000000" w:rsidP="00000000" w:rsidRDefault="00000000" w:rsidRPr="00000000" w14:paraId="00000012">
      <w:pPr>
        <w:pStyle w:val="Heading2"/>
        <w:spacing w:after="240" w:before="240" w:lineRule="auto"/>
        <w:rPr/>
      </w:pPr>
      <w:bookmarkStart w:colFirst="0" w:colLast="0" w:name="_mpponhtoh4q3" w:id="3"/>
      <w:bookmarkEnd w:id="3"/>
      <w:r w:rsidDel="00000000" w:rsidR="00000000" w:rsidRPr="00000000">
        <w:rPr>
          <w:rtl w:val="0"/>
        </w:rPr>
        <w:t xml:space="preserve">¿Cómo detectan las empresas sus necesidades digitales?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Según el informe de la IMANcorp Foundation y la UAB, el 27,3% de las empresas no cuentan con ningún mecanismo para detectar las necesidades de competencias y conocimientos digitales en su propia plantilla.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Sólo muy pocas realizan el Diagnóstico de Necesidades de Formación (Mapa Gap digital o entrevista anual profesional).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formación continua del personal la centran ya sea en la introducción de nuevo hardware/software o en la operación de maquinaria.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